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Default="00B276A5" w:rsidP="00435496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435496" w:rsidRPr="00D93ECE">
        <w:rPr>
          <w:rFonts w:ascii="Arial" w:hAnsi="Arial" w:cs="Arial"/>
        </w:rPr>
        <w:t>63 242 98 24</w:t>
      </w:r>
    </w:p>
    <w:p w:rsidR="00A06A5B" w:rsidRPr="00A06A5B" w:rsidRDefault="00A06A5B" w:rsidP="00A06A5B"/>
    <w:p w:rsidR="0023528C" w:rsidRPr="006B1069" w:rsidRDefault="0023528C" w:rsidP="008526F3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Pr="006B1069">
        <w:rPr>
          <w:rFonts w:ascii="Arial" w:hAnsi="Arial" w:cs="Arial"/>
        </w:rPr>
        <w:t xml:space="preserve">objętego wnioskiem – wpisz dane </w:t>
      </w:r>
      <w:r w:rsidR="00A02329">
        <w:rPr>
          <w:rFonts w:ascii="Arial" w:hAnsi="Arial" w:cs="Arial"/>
        </w:rPr>
        <w:br/>
      </w:r>
      <w:r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435496" w:rsidRPr="00D93ECE">
        <w:rPr>
          <w:rFonts w:ascii="Arial" w:hAnsi="Arial" w:cs="Arial"/>
          <w:sz w:val="24"/>
          <w:szCs w:val="24"/>
        </w:rPr>
        <w:t xml:space="preserve">Zespołu Szkół Technicznych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</w:t>
      </w:r>
      <w:r w:rsidRPr="00D93ECE">
        <w:rPr>
          <w:rFonts w:ascii="Arial" w:hAnsi="Arial" w:cs="Arial"/>
        </w:rPr>
        <w:t xml:space="preserve">przez </w:t>
      </w:r>
      <w:r w:rsidR="00435496" w:rsidRPr="00D93ECE">
        <w:rPr>
          <w:rFonts w:ascii="Arial" w:hAnsi="Arial" w:cs="Arial"/>
        </w:rPr>
        <w:t>Zespół Szkół Technicznych</w:t>
      </w:r>
      <w:r w:rsidRPr="006B1069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435496" w:rsidRPr="00D93ECE">
        <w:rPr>
          <w:rFonts w:ascii="Arial" w:hAnsi="Arial" w:cs="Arial"/>
          <w:sz w:val="24"/>
          <w:szCs w:val="24"/>
        </w:rPr>
        <w:t>Zespół Szkół Technicznych</w:t>
      </w:r>
      <w:r w:rsidRPr="00D93ECE">
        <w:rPr>
          <w:rFonts w:ascii="Arial" w:hAnsi="Arial" w:cs="Arial"/>
          <w:sz w:val="24"/>
          <w:szCs w:val="24"/>
        </w:rPr>
        <w:t xml:space="preserve"> w Koninie zapewnił</w:t>
      </w:r>
      <w:r w:rsidR="00022F53" w:rsidRPr="00022F53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  <w:bookmarkStart w:id="0" w:name="_GoBack"/>
      <w:bookmarkEnd w:id="0"/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6E2ED1" w:rsidRPr="00D93ECE" w:rsidRDefault="00111E30" w:rsidP="00111E30">
      <w:pPr>
        <w:pStyle w:val="Nagwek1"/>
      </w:pPr>
      <w:r w:rsidRPr="00D93ECE">
        <w:t xml:space="preserve">Klauzula informacyjna RODO – </w:t>
      </w:r>
      <w:r w:rsidR="00D93ECE" w:rsidRPr="00D93ECE">
        <w:t>dla interesantów Zespołu Szkół Technicznych w Koninie</w:t>
      </w:r>
    </w:p>
    <w:p w:rsidR="00D93ECE" w:rsidRPr="00D93ECE" w:rsidRDefault="00D93ECE" w:rsidP="00D93ECE"/>
    <w:p w:rsidR="00D93ECE" w:rsidRPr="00D93ECE" w:rsidRDefault="00D93ECE" w:rsidP="00D93ECE">
      <w:pPr>
        <w:spacing w:after="0" w:line="240" w:lineRule="auto"/>
        <w:ind w:firstLine="284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D93ECE" w:rsidRPr="00D93ECE" w:rsidRDefault="00D93ECE" w:rsidP="00D93ECE">
      <w:pPr>
        <w:spacing w:after="0" w:line="240" w:lineRule="auto"/>
        <w:ind w:firstLine="284"/>
        <w:rPr>
          <w:rFonts w:ascii="Arial" w:eastAsiaTheme="majorEastAsia" w:hAnsi="Arial" w:cs="Arial"/>
          <w:sz w:val="24"/>
          <w:szCs w:val="26"/>
        </w:rPr>
      </w:pP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Administratorem Pani/Pana danych osobowych jest Zespół Szkół Technicznych reprezentowana przez Dyrektora, z siedzibą w Koninie ul. 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płk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>. Witolda Sztarka 2, tel. 63 242 98 24, e-mail: sekretariat@zstih.konin.pl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Kontakt z Inspektorem Ochrony Danych jest możliwy pod adresem: Urząd Miejski w Koninie, tel. (63) 240-11-77, e-mail: </w:t>
      </w:r>
      <w:hyperlink r:id="rId7" w:history="1">
        <w:r w:rsidRPr="00D93ECE">
          <w:rPr>
            <w:rFonts w:ascii="Arial" w:eastAsiaTheme="majorEastAsia" w:hAnsi="Arial" w:cs="Arial"/>
            <w:sz w:val="24"/>
            <w:szCs w:val="26"/>
          </w:rPr>
          <w:t>iod@konin.um.gov.pl</w:t>
        </w:r>
      </w:hyperlink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 w:rsidR="00D93ECE" w:rsidRPr="00D93ECE" w:rsidRDefault="00D93ECE" w:rsidP="00D93ECE">
      <w:pPr>
        <w:pStyle w:val="Akapitzlist"/>
        <w:spacing w:after="0" w:line="240" w:lineRule="auto"/>
        <w:contextualSpacing w:val="0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Placówka przetwarza również, dane osobowe pracowników i kontrahentów w celu prawidłowej realizacji umów o pracę bądź innych umów zlecenia. 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W ramach wykonywania ustawowych obowiązków placówka przetwarzana dane osobowe uczniów, ich rodziców lub opiekunów prawnych na podstawie art. 6 ust. 1 lit. c lub art. 9 ust. 2 lit. g RODO, czyli wypełnienia przez szkołę/przedszkole/placówkę obowiązku, </w:t>
      </w:r>
      <w:r w:rsidRPr="00D93ECE">
        <w:rPr>
          <w:rFonts w:ascii="Arial" w:eastAsiaTheme="majorEastAsia" w:hAnsi="Arial" w:cs="Arial"/>
          <w:sz w:val="24"/>
          <w:szCs w:val="26"/>
        </w:rPr>
        <w:br/>
        <w:t xml:space="preserve">w ściśle określonych celach oraz zakresie, na podstawie konkretnych przepisów prawa. Przepisy te znajdują się przede wszystkim w ustawach: </w:t>
      </w:r>
    </w:p>
    <w:p w:rsidR="00D93ECE" w:rsidRPr="00D93ECE" w:rsidRDefault="00D93ECE" w:rsidP="00D93EC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lastRenderedPageBreak/>
        <w:t>Ustawa z dnia 14 grudnia 2016 r. prawo oświatowe 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 xml:space="preserve">. z 2018 r., poz. 1148) </w:t>
      </w:r>
    </w:p>
    <w:p w:rsidR="00D93ECE" w:rsidRPr="00D93ECE" w:rsidRDefault="00D93ECE" w:rsidP="00D93EC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>Ustawa z dnia 07 września 1991 r. o systemie oświaty 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>. z 2018 r., poz. 1457)</w:t>
      </w:r>
    </w:p>
    <w:p w:rsidR="00D93ECE" w:rsidRPr="00D93ECE" w:rsidRDefault="00D93ECE" w:rsidP="00D93EC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>Ustawa z dnia 15 kwietnia 2011 r. o systemie informacji oświatowej 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 xml:space="preserve">. z 2018 r., poz. 1900)  </w:t>
      </w:r>
    </w:p>
    <w:p w:rsidR="00D93ECE" w:rsidRPr="00D93ECE" w:rsidRDefault="00D93ECE" w:rsidP="00D93EC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>Ustawa z dnia 26 stycznia 1982 r. Karta Nauczyciela 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>. z 2018 r., poz. 967 i 2245, oraz z 2019 r., poz. 730)</w:t>
      </w:r>
    </w:p>
    <w:p w:rsidR="00D93ECE" w:rsidRPr="00D93ECE" w:rsidRDefault="00D93ECE" w:rsidP="00D93EC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>Ustawa z dnia 26 czerwca 1974 r. Kodeks pracy 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>. z 2019 r., poz. 1040)</w:t>
      </w:r>
    </w:p>
    <w:p w:rsidR="00D93ECE" w:rsidRPr="00D93ECE" w:rsidRDefault="00D93ECE" w:rsidP="00D93EC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oraz aktów wykonawczych (m.in. rozporządzenia Ministra Edukacji Narodowej z dnia 29 sierpnia 2014 r., w sprawie sposobu prowadzenia przez publiczne przedszkola, </w:t>
      </w:r>
      <w:r w:rsidRPr="00D93ECE">
        <w:rPr>
          <w:rFonts w:ascii="Arial" w:eastAsiaTheme="majorEastAsia" w:hAnsi="Arial" w:cs="Arial"/>
          <w:sz w:val="24"/>
          <w:szCs w:val="26"/>
        </w:rPr>
        <w:br/>
        <w:t xml:space="preserve">szkoły i placówki dokumentacji przebiegu nauczania, działalności wychowawczej </w:t>
      </w:r>
      <w:r w:rsidRPr="00D93ECE">
        <w:rPr>
          <w:rFonts w:ascii="Arial" w:eastAsiaTheme="majorEastAsia" w:hAnsi="Arial" w:cs="Arial"/>
          <w:sz w:val="24"/>
          <w:szCs w:val="26"/>
        </w:rPr>
        <w:br/>
        <w:t xml:space="preserve">i opiekuńczej oraz rodzajów tej dokumentacji oraz rodzajów tej dokumentacji </w:t>
      </w:r>
      <w:r w:rsidRPr="00D93ECE">
        <w:rPr>
          <w:rFonts w:ascii="Arial" w:eastAsiaTheme="majorEastAsia" w:hAnsi="Arial" w:cs="Arial"/>
          <w:sz w:val="24"/>
          <w:szCs w:val="26"/>
        </w:rPr>
        <w:br/>
        <w:t>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 xml:space="preserve">. 2017 r., poz. 1646) oraz rozporządzenie Ministra Edukacji Narodowej z dnia </w:t>
      </w:r>
      <w:r w:rsidRPr="00D93ECE">
        <w:rPr>
          <w:rFonts w:ascii="Arial" w:eastAsiaTheme="majorEastAsia" w:hAnsi="Arial" w:cs="Arial"/>
          <w:sz w:val="24"/>
          <w:szCs w:val="26"/>
        </w:rPr>
        <w:br/>
        <w:t xml:space="preserve">01 marca 2013 r. w sprawie uzyskania stopnia awansu zawodowego przez nauczycieli </w:t>
      </w:r>
      <w:r w:rsidRPr="00D93ECE">
        <w:rPr>
          <w:rFonts w:ascii="Arial" w:eastAsiaTheme="majorEastAsia" w:hAnsi="Arial" w:cs="Arial"/>
          <w:sz w:val="24"/>
          <w:szCs w:val="26"/>
        </w:rPr>
        <w:br/>
        <w:t>(</w:t>
      </w:r>
      <w:proofErr w:type="spellStart"/>
      <w:r w:rsidRPr="00D93ECE">
        <w:rPr>
          <w:rFonts w:ascii="Arial" w:eastAsiaTheme="majorEastAsia" w:hAnsi="Arial" w:cs="Arial"/>
          <w:sz w:val="24"/>
          <w:szCs w:val="26"/>
        </w:rPr>
        <w:t>Dz.U</w:t>
      </w:r>
      <w:proofErr w:type="spellEnd"/>
      <w:r w:rsidRPr="00D93ECE">
        <w:rPr>
          <w:rFonts w:ascii="Arial" w:eastAsiaTheme="majorEastAsia" w:hAnsi="Arial" w:cs="Arial"/>
          <w:sz w:val="24"/>
          <w:szCs w:val="26"/>
        </w:rPr>
        <w:t xml:space="preserve">. 2018 r., poz. 1574). </w:t>
      </w:r>
    </w:p>
    <w:p w:rsidR="00D93ECE" w:rsidRPr="00D93ECE" w:rsidRDefault="00D93ECE" w:rsidP="00D93ECE">
      <w:pPr>
        <w:spacing w:after="0" w:line="240" w:lineRule="auto"/>
        <w:ind w:left="708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Placówka nie przekazuje danych osobowych do państw trzecich i organizacji międzynarodowych. 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Szkoła/przedszkole/placówka będzie udostępniać dane osobowe, jeśli będzie się to wiązało </w:t>
      </w:r>
      <w:r w:rsidRPr="00D93ECE">
        <w:rPr>
          <w:rFonts w:ascii="Arial" w:eastAsiaTheme="majorEastAsia" w:hAnsi="Arial" w:cs="Arial"/>
          <w:sz w:val="24"/>
          <w:szCs w:val="26"/>
        </w:rPr>
        <w:br/>
        <w:t xml:space="preserve">z realizacją uprawnienia bądź obowiązku wynikającego z przepisu prawa. 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Pani/Pana dane przetwarzamy na podstawie zgody. Udzielona zgoda może zostać wycofana </w:t>
      </w:r>
      <w:r w:rsidRPr="00D93ECE">
        <w:rPr>
          <w:rFonts w:ascii="Arial" w:eastAsiaTheme="majorEastAsia" w:hAnsi="Arial" w:cs="Arial"/>
          <w:sz w:val="24"/>
          <w:szCs w:val="26"/>
        </w:rPr>
        <w:br/>
        <w:t xml:space="preserve">w dowolnym momencie. </w:t>
      </w:r>
    </w:p>
    <w:p w:rsidR="00D93ECE" w:rsidRPr="00D93ECE" w:rsidRDefault="00D93ECE" w:rsidP="00D93ECE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Arial" w:eastAsiaTheme="majorEastAsia" w:hAnsi="Arial" w:cs="Arial"/>
          <w:sz w:val="24"/>
          <w:szCs w:val="26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W przypadku stwierdzenia, że przetwarzanie danych narusza obowiązujące przepisy prawa, przysługuje prawo wniesienia skargi do Prezesa Urzędu Ochrony Danych Osobowych, </w:t>
      </w:r>
      <w:r w:rsidRPr="00D93ECE">
        <w:rPr>
          <w:rFonts w:ascii="Arial" w:eastAsiaTheme="majorEastAsia" w:hAnsi="Arial" w:cs="Arial"/>
          <w:sz w:val="24"/>
          <w:szCs w:val="26"/>
        </w:rPr>
        <w:br/>
        <w:t>ul. Stawki 2, 00-193 Warszawa, tel. 22 531 03 00, fax. 22 531 03 01 Szczegółowe informacje kontaktowe do UODO są dostępne pod adresem: https://uodo.gov.pl/kontakt</w:t>
      </w:r>
    </w:p>
    <w:p w:rsidR="00D93ECE" w:rsidRPr="00070C58" w:rsidRDefault="00D93ECE" w:rsidP="00D93ECE">
      <w:pPr>
        <w:pStyle w:val="Akapitzlist"/>
        <w:numPr>
          <w:ilvl w:val="0"/>
          <w:numId w:val="12"/>
        </w:numPr>
        <w:spacing w:after="0" w:line="240" w:lineRule="auto"/>
        <w:rPr>
          <w:color w:val="FF0000"/>
        </w:rPr>
      </w:pPr>
      <w:r w:rsidRPr="00D93ECE">
        <w:rPr>
          <w:rFonts w:ascii="Arial" w:eastAsiaTheme="majorEastAsia" w:hAnsi="Arial" w:cs="Arial"/>
          <w:sz w:val="24"/>
          <w:szCs w:val="26"/>
        </w:rPr>
        <w:t xml:space="preserve">Dane osobowe nie podlegają profilowaniu ani zautomatyzowanemu podejmowaniu decyzji. </w:t>
      </w:r>
    </w:p>
    <w:p w:rsidR="00D93ECE" w:rsidRDefault="00D93ECE" w:rsidP="00D93ECE">
      <w:pPr>
        <w:spacing w:after="0" w:line="240" w:lineRule="auto"/>
        <w:jc w:val="both"/>
      </w:pPr>
    </w:p>
    <w:p w:rsidR="009E0FF7" w:rsidRPr="00111E30" w:rsidRDefault="009E0FF7" w:rsidP="00D93ECE">
      <w:pPr>
        <w:pStyle w:val="Nagwek1"/>
        <w:rPr>
          <w:rFonts w:eastAsia="Times New Roman"/>
          <w:color w:val="FF0000"/>
          <w:lang w:eastAsia="pl-PL"/>
        </w:rPr>
      </w:pPr>
    </w:p>
    <w:sectPr w:rsidR="009E0FF7" w:rsidRPr="00111E30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96" w:rsidRDefault="00435496" w:rsidP="00D06E35">
      <w:pPr>
        <w:spacing w:after="0" w:line="240" w:lineRule="auto"/>
      </w:pPr>
      <w:r>
        <w:separator/>
      </w:r>
    </w:p>
  </w:endnote>
  <w:endnote w:type="continuationSeparator" w:id="0">
    <w:p w:rsidR="00435496" w:rsidRDefault="00435496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96" w:rsidRDefault="00435496" w:rsidP="00D06E35">
      <w:pPr>
        <w:spacing w:after="0" w:line="240" w:lineRule="auto"/>
      </w:pPr>
      <w:r>
        <w:separator/>
      </w:r>
    </w:p>
  </w:footnote>
  <w:footnote w:type="continuationSeparator" w:id="0">
    <w:p w:rsidR="00435496" w:rsidRDefault="00435496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C4"/>
    <w:rsid w:val="0000650E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35496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7357F"/>
    <w:rsid w:val="009E0FF7"/>
    <w:rsid w:val="00A02329"/>
    <w:rsid w:val="00A06A5B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D93ECE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7F"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Gilewski</dc:creator>
  <cp:lastModifiedBy>Monika Szydłowska</cp:lastModifiedBy>
  <cp:revision>3</cp:revision>
  <dcterms:created xsi:type="dcterms:W3CDTF">2022-02-04T08:02:00Z</dcterms:created>
  <dcterms:modified xsi:type="dcterms:W3CDTF">2022-02-04T08:13:00Z</dcterms:modified>
</cp:coreProperties>
</file>